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4B6" w:rsidRPr="006164B6" w:rsidRDefault="006164B6" w:rsidP="006164B6">
      <w:pPr>
        <w:spacing w:before="100" w:beforeAutospacing="1" w:after="100" w:afterAutospacing="1" w:line="240" w:lineRule="auto"/>
        <w:jc w:val="both"/>
        <w:rPr>
          <w:rFonts w:ascii="Times New Roman" w:eastAsia="Times New Roman" w:hAnsi="Times New Roman" w:cs="Times New Roman"/>
          <w:sz w:val="24"/>
          <w:szCs w:val="24"/>
          <w:lang w:eastAsia="it-IT"/>
        </w:rPr>
      </w:pPr>
      <w:bookmarkStart w:id="0" w:name="_GoBack"/>
      <w:bookmarkEnd w:id="0"/>
      <w:r w:rsidRPr="006164B6">
        <w:rPr>
          <w:rFonts w:ascii="Times New Roman" w:eastAsia="Times New Roman" w:hAnsi="Times New Roman" w:cs="Times New Roman"/>
          <w:sz w:val="24"/>
          <w:szCs w:val="24"/>
          <w:lang w:eastAsia="it-IT"/>
        </w:rPr>
        <w:t xml:space="preserve">L’aggiornamento è stato realizzato sulla base delle osservazioni emerse nell’ambito degli incontri del “tavolo tecnico appalti” del  MIPAAF e delle principali sopravvenienze nell’ambito della disciplina sugli appalti a far data dal 30 settembre 2018 al 25 febbraio 2019, con riferimento particolare a: </w:t>
      </w:r>
    </w:p>
    <w:p w:rsidR="006164B6" w:rsidRDefault="006164B6" w:rsidP="00051DFE">
      <w:pPr>
        <w:pStyle w:val="Paragrafoelenco"/>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6164B6">
        <w:rPr>
          <w:rFonts w:ascii="Times New Roman" w:eastAsia="Times New Roman" w:hAnsi="Times New Roman" w:cs="Times New Roman"/>
          <w:sz w:val="24"/>
          <w:szCs w:val="24"/>
          <w:lang w:eastAsia="it-IT"/>
        </w:rPr>
        <w:t xml:space="preserve">L. 30 dicembre 2018, n. 145 (Legge di bilancio 2019) che ha apportato alcune modifiche alle procedure di affidamento sotto-soglia, innalzando anche la soglia dei c.d. "micro acquisti" da 1.000 a 5.000 euro (con relativa estensione della deroga all'obbligo di preventiva escussione del Mercato elettronico);  </w:t>
      </w:r>
    </w:p>
    <w:p w:rsidR="006164B6" w:rsidRPr="006164B6" w:rsidRDefault="006164B6" w:rsidP="00051DFE">
      <w:pPr>
        <w:pStyle w:val="Paragrafoelenco"/>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6164B6">
        <w:rPr>
          <w:rFonts w:ascii="Times New Roman" w:eastAsia="Times New Roman" w:hAnsi="Times New Roman" w:cs="Times New Roman"/>
          <w:sz w:val="24"/>
          <w:szCs w:val="24"/>
          <w:lang w:eastAsia="it-IT"/>
        </w:rPr>
        <w:t xml:space="preserve">D.L. 14 dicembre 2018, n. 135 (Decreto semplificazione) che ha modificato l'art. 80 del Codice dei contratti; </w:t>
      </w:r>
    </w:p>
    <w:p w:rsidR="006164B6" w:rsidRPr="006164B6" w:rsidRDefault="006164B6" w:rsidP="006164B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6164B6">
        <w:rPr>
          <w:rFonts w:ascii="Times New Roman" w:eastAsia="Times New Roman" w:hAnsi="Times New Roman" w:cs="Times New Roman"/>
          <w:sz w:val="24"/>
          <w:szCs w:val="24"/>
          <w:lang w:eastAsia="it-IT"/>
        </w:rPr>
        <w:t xml:space="preserve">Direttiva comunitaria 2014/24/UE riguardante la digitalizzazione delle procedure d'appalto; </w:t>
      </w:r>
    </w:p>
    <w:p w:rsidR="006164B6" w:rsidRPr="006164B6" w:rsidRDefault="006164B6" w:rsidP="006164B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6164B6">
        <w:rPr>
          <w:rFonts w:ascii="Times New Roman" w:eastAsia="Times New Roman" w:hAnsi="Times New Roman" w:cs="Times New Roman"/>
          <w:sz w:val="24"/>
          <w:szCs w:val="24"/>
          <w:lang w:eastAsia="it-IT"/>
        </w:rPr>
        <w:t xml:space="preserve">Delibera ANAC 18 luglio 2018 riguardante l'operatività dell'albo dei commissari di gara; </w:t>
      </w:r>
    </w:p>
    <w:p w:rsidR="006164B6" w:rsidRPr="006164B6" w:rsidRDefault="006164B6" w:rsidP="006164B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6164B6">
        <w:rPr>
          <w:rFonts w:ascii="Times New Roman" w:eastAsia="Times New Roman" w:hAnsi="Times New Roman" w:cs="Times New Roman"/>
          <w:sz w:val="24"/>
          <w:szCs w:val="24"/>
          <w:lang w:eastAsia="it-IT"/>
        </w:rPr>
        <w:t>Delibera ANAC 13 giugno 2018 che disciplina i poteri di intervento di ANAC in caso di atti illegittimi adottati dalle stazioni appaltanti </w:t>
      </w:r>
    </w:p>
    <w:p w:rsidR="006164B6" w:rsidRPr="006164B6" w:rsidRDefault="006164B6" w:rsidP="006164B6">
      <w:pPr>
        <w:spacing w:before="100" w:beforeAutospacing="1" w:after="100" w:afterAutospacing="1" w:line="240" w:lineRule="auto"/>
        <w:rPr>
          <w:rFonts w:ascii="Times New Roman" w:eastAsia="Times New Roman" w:hAnsi="Times New Roman" w:cs="Times New Roman"/>
          <w:sz w:val="24"/>
          <w:szCs w:val="24"/>
          <w:lang w:eastAsia="it-IT"/>
        </w:rPr>
      </w:pPr>
      <w:r w:rsidRPr="006164B6">
        <w:rPr>
          <w:rFonts w:ascii="Times New Roman" w:eastAsia="Times New Roman" w:hAnsi="Times New Roman" w:cs="Times New Roman"/>
          <w:sz w:val="24"/>
          <w:szCs w:val="24"/>
          <w:lang w:eastAsia="it-IT"/>
        </w:rPr>
        <w:t> In particolare, sono state realizzati modelli distinti per le fasi di:</w:t>
      </w:r>
    </w:p>
    <w:p w:rsidR="006164B6" w:rsidRPr="006164B6" w:rsidRDefault="006164B6" w:rsidP="006164B6">
      <w:pPr>
        <w:pStyle w:val="Paragrafoelenco"/>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6164B6">
        <w:rPr>
          <w:rFonts w:ascii="Times New Roman" w:eastAsia="Times New Roman" w:hAnsi="Times New Roman" w:cs="Times New Roman"/>
          <w:sz w:val="24"/>
          <w:szCs w:val="24"/>
          <w:lang w:eastAsia="it-IT"/>
        </w:rPr>
        <w:t>AUTOVALUTAZIONE ad uso dei potenziali beneficiari delle misure interessate dalle procedure di gara;</w:t>
      </w:r>
    </w:p>
    <w:p w:rsidR="006164B6" w:rsidRPr="006164B6" w:rsidRDefault="006164B6" w:rsidP="006164B6">
      <w:pPr>
        <w:pStyle w:val="Paragrafoelenco"/>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6164B6">
        <w:rPr>
          <w:rFonts w:ascii="Times New Roman" w:eastAsia="Times New Roman" w:hAnsi="Times New Roman" w:cs="Times New Roman"/>
          <w:sz w:val="24"/>
          <w:szCs w:val="24"/>
          <w:lang w:eastAsia="it-IT"/>
        </w:rPr>
        <w:t>CONTROLLO ad uso funzionari incaricati dell’istruttoria amministrativa delle domande di sostegno e pagamento e dei controlli in loco per le domande di pagamento</w:t>
      </w:r>
      <w:r>
        <w:rPr>
          <w:rFonts w:ascii="Times New Roman" w:eastAsia="Times New Roman" w:hAnsi="Times New Roman" w:cs="Times New Roman"/>
          <w:sz w:val="24"/>
          <w:szCs w:val="24"/>
          <w:lang w:eastAsia="it-IT"/>
        </w:rPr>
        <w:t>;</w:t>
      </w:r>
    </w:p>
    <w:p w:rsidR="006164B6" w:rsidRPr="006164B6" w:rsidRDefault="006164B6" w:rsidP="00A62FBE">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164B6">
        <w:rPr>
          <w:rFonts w:ascii="Times New Roman" w:eastAsia="Times New Roman" w:hAnsi="Times New Roman" w:cs="Times New Roman"/>
          <w:sz w:val="24"/>
          <w:szCs w:val="24"/>
          <w:lang w:eastAsia="it-IT"/>
        </w:rPr>
        <w:t xml:space="preserve">Si informa che, alla luce delle novità introdotte dal Decreto 32/2019, c.d. Sblocca Cantieri, pubblicato nella Gazzetta Ufficiale del 18 aprile 2019, di modifica del Codice degli Appalti al fine del rilancio dei contratti pubblici, da convertire in legge entro il 17 giugno p.v., è in corso una nuova revisione delle </w:t>
      </w:r>
      <w:proofErr w:type="spellStart"/>
      <w:r w:rsidRPr="006164B6">
        <w:rPr>
          <w:rFonts w:ascii="Times New Roman" w:eastAsia="Times New Roman" w:hAnsi="Times New Roman" w:cs="Times New Roman"/>
          <w:sz w:val="24"/>
          <w:szCs w:val="24"/>
          <w:lang w:eastAsia="it-IT"/>
        </w:rPr>
        <w:t>checklist</w:t>
      </w:r>
      <w:proofErr w:type="spellEnd"/>
      <w:r w:rsidRPr="006164B6">
        <w:rPr>
          <w:rFonts w:ascii="Times New Roman" w:eastAsia="Times New Roman" w:hAnsi="Times New Roman" w:cs="Times New Roman"/>
          <w:sz w:val="24"/>
          <w:szCs w:val="24"/>
          <w:lang w:eastAsia="it-IT"/>
        </w:rPr>
        <w:t xml:space="preserve"> che saranno rese disponibili dopo la conversione in legge del Decreto.</w:t>
      </w:r>
    </w:p>
    <w:p w:rsidR="007511EF" w:rsidRDefault="007511EF"/>
    <w:sectPr w:rsidR="007511E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7038D"/>
    <w:multiLevelType w:val="multilevel"/>
    <w:tmpl w:val="EE6C5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517110D"/>
    <w:multiLevelType w:val="multilevel"/>
    <w:tmpl w:val="BB22B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46E2AAE"/>
    <w:multiLevelType w:val="multilevel"/>
    <w:tmpl w:val="1FA2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E90103D"/>
    <w:multiLevelType w:val="hybridMultilevel"/>
    <w:tmpl w:val="3B92C01C"/>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4">
    <w:nsid w:val="749839DF"/>
    <w:multiLevelType w:val="multilevel"/>
    <w:tmpl w:val="BB10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626715F"/>
    <w:multiLevelType w:val="hybridMultilevel"/>
    <w:tmpl w:val="C75E0D7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4B6"/>
    <w:rsid w:val="006164B6"/>
    <w:rsid w:val="007511EF"/>
    <w:rsid w:val="00A62FBE"/>
    <w:rsid w:val="00D90A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305028640350382915m8450911699862573862msolistparagraph">
    <w:name w:val="m_-305028640350382915m_8450911699862573862msolistparagraph"/>
    <w:basedOn w:val="Normale"/>
    <w:rsid w:val="006164B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6164B6"/>
    <w:rPr>
      <w:color w:val="0000FF"/>
      <w:u w:val="single"/>
    </w:rPr>
  </w:style>
  <w:style w:type="paragraph" w:styleId="Paragrafoelenco">
    <w:name w:val="List Paragraph"/>
    <w:basedOn w:val="Normale"/>
    <w:uiPriority w:val="34"/>
    <w:qFormat/>
    <w:rsid w:val="006164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305028640350382915m8450911699862573862msolistparagraph">
    <w:name w:val="m_-305028640350382915m_8450911699862573862msolistparagraph"/>
    <w:basedOn w:val="Normale"/>
    <w:rsid w:val="006164B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6164B6"/>
    <w:rPr>
      <w:color w:val="0000FF"/>
      <w:u w:val="single"/>
    </w:rPr>
  </w:style>
  <w:style w:type="paragraph" w:styleId="Paragrafoelenco">
    <w:name w:val="List Paragraph"/>
    <w:basedOn w:val="Normale"/>
    <w:uiPriority w:val="34"/>
    <w:qFormat/>
    <w:rsid w:val="006164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34178">
      <w:bodyDiv w:val="1"/>
      <w:marLeft w:val="0"/>
      <w:marRight w:val="0"/>
      <w:marTop w:val="0"/>
      <w:marBottom w:val="0"/>
      <w:divBdr>
        <w:top w:val="none" w:sz="0" w:space="0" w:color="auto"/>
        <w:left w:val="none" w:sz="0" w:space="0" w:color="auto"/>
        <w:bottom w:val="none" w:sz="0" w:space="0" w:color="auto"/>
        <w:right w:val="none" w:sz="0" w:space="0" w:color="auto"/>
      </w:divBdr>
      <w:divsChild>
        <w:div w:id="25258502">
          <w:marLeft w:val="0"/>
          <w:marRight w:val="0"/>
          <w:marTop w:val="0"/>
          <w:marBottom w:val="0"/>
          <w:divBdr>
            <w:top w:val="none" w:sz="0" w:space="0" w:color="auto"/>
            <w:left w:val="none" w:sz="0" w:space="0" w:color="auto"/>
            <w:bottom w:val="none" w:sz="0" w:space="0" w:color="auto"/>
            <w:right w:val="none" w:sz="0" w:space="0" w:color="auto"/>
          </w:divBdr>
          <w:divsChild>
            <w:div w:id="1741556403">
              <w:marLeft w:val="0"/>
              <w:marRight w:val="0"/>
              <w:marTop w:val="0"/>
              <w:marBottom w:val="0"/>
              <w:divBdr>
                <w:top w:val="none" w:sz="0" w:space="0" w:color="auto"/>
                <w:left w:val="none" w:sz="0" w:space="0" w:color="auto"/>
                <w:bottom w:val="none" w:sz="0" w:space="0" w:color="auto"/>
                <w:right w:val="none" w:sz="0" w:space="0" w:color="auto"/>
              </w:divBdr>
              <w:divsChild>
                <w:div w:id="2135707049">
                  <w:marLeft w:val="0"/>
                  <w:marRight w:val="0"/>
                  <w:marTop w:val="0"/>
                  <w:marBottom w:val="0"/>
                  <w:divBdr>
                    <w:top w:val="none" w:sz="0" w:space="0" w:color="auto"/>
                    <w:left w:val="none" w:sz="0" w:space="0" w:color="auto"/>
                    <w:bottom w:val="none" w:sz="0" w:space="0" w:color="auto"/>
                    <w:right w:val="none" w:sz="0" w:space="0" w:color="auto"/>
                  </w:divBdr>
                  <w:divsChild>
                    <w:div w:id="75395754">
                      <w:marLeft w:val="0"/>
                      <w:marRight w:val="0"/>
                      <w:marTop w:val="0"/>
                      <w:marBottom w:val="0"/>
                      <w:divBdr>
                        <w:top w:val="none" w:sz="0" w:space="0" w:color="auto"/>
                        <w:left w:val="none" w:sz="0" w:space="0" w:color="auto"/>
                        <w:bottom w:val="none" w:sz="0" w:space="0" w:color="auto"/>
                        <w:right w:val="none" w:sz="0" w:space="0" w:color="auto"/>
                      </w:divBdr>
                      <w:divsChild>
                        <w:div w:id="1964997400">
                          <w:marLeft w:val="0"/>
                          <w:marRight w:val="0"/>
                          <w:marTop w:val="0"/>
                          <w:marBottom w:val="0"/>
                          <w:divBdr>
                            <w:top w:val="none" w:sz="0" w:space="0" w:color="auto"/>
                            <w:left w:val="none" w:sz="0" w:space="0" w:color="auto"/>
                            <w:bottom w:val="none" w:sz="0" w:space="0" w:color="auto"/>
                            <w:right w:val="none" w:sz="0" w:space="0" w:color="auto"/>
                          </w:divBdr>
                          <w:divsChild>
                            <w:div w:id="1361779850">
                              <w:marLeft w:val="0"/>
                              <w:marRight w:val="0"/>
                              <w:marTop w:val="0"/>
                              <w:marBottom w:val="0"/>
                              <w:divBdr>
                                <w:top w:val="none" w:sz="0" w:space="0" w:color="auto"/>
                                <w:left w:val="none" w:sz="0" w:space="0" w:color="auto"/>
                                <w:bottom w:val="none" w:sz="0" w:space="0" w:color="auto"/>
                                <w:right w:val="none" w:sz="0" w:space="0" w:color="auto"/>
                              </w:divBdr>
                              <w:divsChild>
                                <w:div w:id="551117963">
                                  <w:marLeft w:val="0"/>
                                  <w:marRight w:val="0"/>
                                  <w:marTop w:val="0"/>
                                  <w:marBottom w:val="0"/>
                                  <w:divBdr>
                                    <w:top w:val="none" w:sz="0" w:space="0" w:color="auto"/>
                                    <w:left w:val="none" w:sz="0" w:space="0" w:color="auto"/>
                                    <w:bottom w:val="none" w:sz="0" w:space="0" w:color="auto"/>
                                    <w:right w:val="none" w:sz="0" w:space="0" w:color="auto"/>
                                  </w:divBdr>
                                  <w:divsChild>
                                    <w:div w:id="28326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265</Words>
  <Characters>1513</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RegioneCampania</Company>
  <LinksUpToDate>false</LinksUpToDate>
  <CharactersWithSpaces>1775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 FALCO</dc:creator>
  <cp:lastModifiedBy>Giuliano Marseglia</cp:lastModifiedBy>
  <cp:revision>2</cp:revision>
  <dcterms:created xsi:type="dcterms:W3CDTF">2019-05-30T07:29:00Z</dcterms:created>
  <dcterms:modified xsi:type="dcterms:W3CDTF">2019-05-30T07:29:00Z</dcterms:modified>
</cp:coreProperties>
</file>